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AA4D" w14:textId="3E12369F" w:rsidR="003B2460" w:rsidRDefault="00BF02DA" w:rsidP="000B01CE">
      <w:pPr>
        <w:spacing w:line="271" w:lineRule="auto"/>
        <w:rPr>
          <w:rFonts w:ascii="Poppins" w:hAnsi="Poppins" w:cs="Poppins"/>
          <w:b/>
          <w:bCs/>
          <w:sz w:val="28"/>
          <w:szCs w:val="28"/>
        </w:rPr>
      </w:pPr>
      <w:r w:rsidRPr="00BF02DA">
        <w:rPr>
          <w:rFonts w:ascii="Poppins" w:hAnsi="Poppins" w:cs="Poppins"/>
          <w:b/>
          <w:bCs/>
          <w:sz w:val="28"/>
          <w:szCs w:val="28"/>
        </w:rPr>
        <w:t>Subject: Justification to Attend CMMC at Sea</w:t>
      </w:r>
    </w:p>
    <w:p w14:paraId="273F224A" w14:textId="77777777" w:rsidR="00B62567" w:rsidRPr="009D0FB8" w:rsidRDefault="00B62567" w:rsidP="000B01CE">
      <w:pPr>
        <w:spacing w:line="271" w:lineRule="auto"/>
        <w:rPr>
          <w:rFonts w:ascii="Poppins" w:hAnsi="Poppins" w:cs="Poppins"/>
          <w:sz w:val="22"/>
          <w:szCs w:val="22"/>
        </w:rPr>
      </w:pPr>
      <w:r w:rsidRPr="009D0FB8">
        <w:rPr>
          <w:rFonts w:ascii="Poppins" w:hAnsi="Poppins" w:cs="Poppins"/>
          <w:sz w:val="22"/>
          <w:szCs w:val="22"/>
        </w:rPr>
        <w:t xml:space="preserve">Dear </w:t>
      </w:r>
      <w:r w:rsidRPr="009D0FB8">
        <w:rPr>
          <w:rFonts w:ascii="Poppins" w:hAnsi="Poppins" w:cs="Poppins"/>
          <w:sz w:val="22"/>
          <w:szCs w:val="22"/>
          <w:highlight w:val="yellow"/>
        </w:rPr>
        <w:t>[Manager’s Name]</w:t>
      </w:r>
      <w:r w:rsidRPr="009D0FB8">
        <w:rPr>
          <w:rFonts w:ascii="Poppins" w:hAnsi="Poppins" w:cs="Poppins"/>
          <w:sz w:val="22"/>
          <w:szCs w:val="22"/>
        </w:rPr>
        <w:t>,</w:t>
      </w:r>
    </w:p>
    <w:p w14:paraId="3C1346FA" w14:textId="3BF0D59C" w:rsidR="00B62567" w:rsidRPr="009D0FB8" w:rsidRDefault="00B62567" w:rsidP="000B01CE">
      <w:pPr>
        <w:spacing w:line="271" w:lineRule="auto"/>
        <w:jc w:val="both"/>
        <w:rPr>
          <w:rFonts w:ascii="Poppins" w:hAnsi="Poppins" w:cs="Poppins"/>
          <w:sz w:val="22"/>
          <w:szCs w:val="22"/>
        </w:rPr>
      </w:pPr>
      <w:r w:rsidRPr="009D0FB8">
        <w:rPr>
          <w:rFonts w:ascii="Poppins" w:hAnsi="Poppins" w:cs="Poppins"/>
          <w:sz w:val="22"/>
          <w:szCs w:val="22"/>
        </w:rPr>
        <w:t>I am requesting approval to attend CMMC at Sea, a</w:t>
      </w:r>
      <w:r w:rsidR="00AA06A1">
        <w:rPr>
          <w:rFonts w:ascii="Poppins" w:hAnsi="Poppins" w:cs="Poppins"/>
          <w:sz w:val="22"/>
          <w:szCs w:val="22"/>
        </w:rPr>
        <w:t xml:space="preserve"> new </w:t>
      </w:r>
      <w:r w:rsidRPr="009D0FB8">
        <w:rPr>
          <w:rFonts w:ascii="Poppins" w:hAnsi="Poppins" w:cs="Poppins"/>
          <w:sz w:val="22"/>
          <w:szCs w:val="22"/>
        </w:rPr>
        <w:t xml:space="preserve">industry event focused on the Cybersecurity Maturity Model Certification (CMMC) and its practical implications for organizations supporting the Defense Industrial Base (DIB). Event details are available here: </w:t>
      </w:r>
      <w:hyperlink r:id="rId7" w:history="1">
        <w:r w:rsidRPr="009D0FB8">
          <w:rPr>
            <w:rStyle w:val="Hyperlink"/>
            <w:rFonts w:ascii="Poppins" w:hAnsi="Poppins" w:cs="Poppins"/>
            <w:sz w:val="22"/>
            <w:szCs w:val="22"/>
          </w:rPr>
          <w:t>www.cmmcatsea.com</w:t>
        </w:r>
      </w:hyperlink>
      <w:r w:rsidRPr="009D0FB8">
        <w:rPr>
          <w:rFonts w:ascii="Poppins" w:hAnsi="Poppins" w:cs="Poppins"/>
          <w:sz w:val="22"/>
          <w:szCs w:val="22"/>
        </w:rPr>
        <w:t>.</w:t>
      </w:r>
    </w:p>
    <w:p w14:paraId="4A96B358" w14:textId="16DC15E9" w:rsidR="00B62567" w:rsidRPr="009D0FB8" w:rsidRDefault="00B62567" w:rsidP="000B01CE">
      <w:pPr>
        <w:spacing w:line="271" w:lineRule="auto"/>
        <w:jc w:val="both"/>
        <w:rPr>
          <w:rFonts w:ascii="Poppins" w:hAnsi="Poppins" w:cs="Poppins"/>
          <w:sz w:val="22"/>
          <w:szCs w:val="22"/>
        </w:rPr>
      </w:pPr>
      <w:r w:rsidRPr="009D0FB8">
        <w:rPr>
          <w:rFonts w:ascii="Poppins" w:hAnsi="Poppins" w:cs="Poppins"/>
          <w:sz w:val="22"/>
          <w:szCs w:val="22"/>
        </w:rPr>
        <w:t xml:space="preserve">CMMC at Sea is not a traditional industry conference but best viewed as an immersive working session designed to accelerate organizational readiness for CMMC. Attending provides clear, measurable value to </w:t>
      </w:r>
      <w:r w:rsidR="00AA06A1">
        <w:rPr>
          <w:rFonts w:ascii="Poppins" w:hAnsi="Poppins" w:cs="Poppins"/>
          <w:sz w:val="22"/>
          <w:szCs w:val="22"/>
        </w:rPr>
        <w:t>the</w:t>
      </w:r>
      <w:r w:rsidRPr="009D0FB8">
        <w:rPr>
          <w:rFonts w:ascii="Poppins" w:hAnsi="Poppins" w:cs="Poppins"/>
          <w:sz w:val="22"/>
          <w:szCs w:val="22"/>
        </w:rPr>
        <w:t xml:space="preserve"> organization, while offering a competitive cost profile relative to traditional CMMC conferences. </w:t>
      </w:r>
      <w:r w:rsidR="00694601">
        <w:rPr>
          <w:rFonts w:ascii="Poppins" w:hAnsi="Poppins" w:cs="Poppins"/>
          <w:sz w:val="22"/>
          <w:szCs w:val="22"/>
        </w:rPr>
        <w:t>S</w:t>
      </w:r>
      <w:r w:rsidR="000B01CE" w:rsidRPr="009D0FB8">
        <w:rPr>
          <w:rFonts w:ascii="Poppins" w:hAnsi="Poppins" w:cs="Poppins"/>
          <w:sz w:val="22"/>
          <w:szCs w:val="22"/>
        </w:rPr>
        <w:t xml:space="preserve">trategic </w:t>
      </w:r>
      <w:r w:rsidRPr="009D0FB8">
        <w:rPr>
          <w:rFonts w:ascii="Poppins" w:hAnsi="Poppins" w:cs="Poppins"/>
          <w:sz w:val="22"/>
          <w:szCs w:val="22"/>
        </w:rPr>
        <w:t>benefits include</w:t>
      </w:r>
      <w:r w:rsidR="00AA06A1">
        <w:rPr>
          <w:rFonts w:ascii="Poppins" w:hAnsi="Poppins" w:cs="Poppins"/>
          <w:sz w:val="22"/>
          <w:szCs w:val="22"/>
        </w:rPr>
        <w:t>:</w:t>
      </w:r>
      <w:r w:rsidRPr="009D0FB8">
        <w:rPr>
          <w:rFonts w:ascii="Poppins" w:hAnsi="Poppins" w:cs="Poppins"/>
          <w:sz w:val="22"/>
          <w:szCs w:val="22"/>
        </w:rPr>
        <w:t xml:space="preserve"> </w:t>
      </w:r>
    </w:p>
    <w:p w14:paraId="434A6D09" w14:textId="09B1F89A" w:rsidR="000B01CE" w:rsidRPr="009D0FB8" w:rsidRDefault="000B01CE" w:rsidP="000B01CE">
      <w:pPr>
        <w:spacing w:line="271" w:lineRule="auto"/>
        <w:jc w:val="both"/>
        <w:rPr>
          <w:rFonts w:ascii="Poppins" w:hAnsi="Poppins" w:cs="Poppins"/>
          <w:b/>
          <w:bCs/>
          <w:sz w:val="22"/>
          <w:szCs w:val="22"/>
        </w:rPr>
      </w:pPr>
      <w:r w:rsidRPr="009D0FB8">
        <w:rPr>
          <w:rFonts w:ascii="Poppins" w:hAnsi="Poppins" w:cs="Poppins"/>
          <w:b/>
          <w:bCs/>
          <w:sz w:val="22"/>
          <w:szCs w:val="22"/>
        </w:rPr>
        <w:t>1. Accelerated Readiness</w:t>
      </w:r>
    </w:p>
    <w:p w14:paraId="1064EAF7" w14:textId="77777777" w:rsidR="000B01CE" w:rsidRPr="009D0FB8" w:rsidRDefault="000B01CE" w:rsidP="000B01CE">
      <w:pPr>
        <w:spacing w:after="120" w:line="271" w:lineRule="auto"/>
        <w:jc w:val="both"/>
        <w:rPr>
          <w:rFonts w:ascii="Poppins" w:hAnsi="Poppins" w:cs="Poppins"/>
          <w:sz w:val="22"/>
          <w:szCs w:val="22"/>
        </w:rPr>
      </w:pPr>
      <w:r w:rsidRPr="009D0FB8">
        <w:rPr>
          <w:rFonts w:ascii="Poppins" w:hAnsi="Poppins" w:cs="Poppins"/>
          <w:sz w:val="22"/>
          <w:szCs w:val="22"/>
        </w:rPr>
        <w:t>Unlike lecture-based conferences, CMMC at Sea is structured as a working readiness environment where organizations can actively develop and refine:</w:t>
      </w:r>
    </w:p>
    <w:p w14:paraId="0A96CCD7" w14:textId="35191FE4" w:rsidR="000B01CE" w:rsidRPr="009D0FB8" w:rsidRDefault="000B01CE" w:rsidP="00CB27C9">
      <w:pPr>
        <w:pStyle w:val="Bullet"/>
        <w:rPr>
          <w:szCs w:val="22"/>
        </w:rPr>
      </w:pPr>
      <w:r w:rsidRPr="009D0FB8">
        <w:rPr>
          <w:szCs w:val="22"/>
        </w:rPr>
        <w:t xml:space="preserve">System Security Plans (SSPs) </w:t>
      </w:r>
    </w:p>
    <w:p w14:paraId="563D160B" w14:textId="7F2482A2" w:rsidR="000B01CE" w:rsidRPr="009D0FB8" w:rsidRDefault="000B01CE" w:rsidP="00CB27C9">
      <w:pPr>
        <w:pStyle w:val="Bullet"/>
        <w:rPr>
          <w:szCs w:val="22"/>
        </w:rPr>
      </w:pPr>
      <w:r w:rsidRPr="009D0FB8">
        <w:rPr>
          <w:szCs w:val="22"/>
        </w:rPr>
        <w:t xml:space="preserve">Policies and procedures </w:t>
      </w:r>
    </w:p>
    <w:p w14:paraId="008377D8" w14:textId="19F7AEFA" w:rsidR="000B01CE" w:rsidRPr="009D0FB8" w:rsidRDefault="000B01CE" w:rsidP="00CB27C9">
      <w:pPr>
        <w:pStyle w:val="Bullet"/>
        <w:rPr>
          <w:szCs w:val="22"/>
        </w:rPr>
      </w:pPr>
      <w:r w:rsidRPr="009D0FB8">
        <w:rPr>
          <w:szCs w:val="22"/>
        </w:rPr>
        <w:t xml:space="preserve">Evidence repositories </w:t>
      </w:r>
    </w:p>
    <w:p w14:paraId="4E9956C2" w14:textId="29FF7370" w:rsidR="000B01CE" w:rsidRPr="009D0FB8" w:rsidRDefault="000B01CE" w:rsidP="00CB27C9">
      <w:pPr>
        <w:pStyle w:val="Bullet"/>
        <w:rPr>
          <w:szCs w:val="22"/>
        </w:rPr>
      </w:pPr>
      <w:r w:rsidRPr="009D0FB8">
        <w:rPr>
          <w:szCs w:val="22"/>
        </w:rPr>
        <w:t xml:space="preserve">Asset inventories and boundary definitions </w:t>
      </w:r>
    </w:p>
    <w:p w14:paraId="4EE48AA1" w14:textId="3F081589" w:rsidR="000B01CE" w:rsidRPr="009D0FB8" w:rsidRDefault="000B01CE" w:rsidP="000B01CE">
      <w:pPr>
        <w:spacing w:line="271" w:lineRule="auto"/>
        <w:jc w:val="both"/>
        <w:rPr>
          <w:rFonts w:ascii="Poppins" w:hAnsi="Poppins" w:cs="Poppins"/>
          <w:sz w:val="22"/>
          <w:szCs w:val="22"/>
        </w:rPr>
      </w:pPr>
      <w:r w:rsidRPr="009D0FB8">
        <w:rPr>
          <w:rFonts w:ascii="Poppins" w:hAnsi="Poppins" w:cs="Poppins"/>
          <w:sz w:val="22"/>
          <w:szCs w:val="22"/>
        </w:rPr>
        <w:t xml:space="preserve">Participants have direct access to experienced </w:t>
      </w:r>
      <w:r w:rsidR="008E7805" w:rsidRPr="009D0FB8">
        <w:rPr>
          <w:rFonts w:ascii="Poppins" w:hAnsi="Poppins" w:cs="Poppins"/>
          <w:sz w:val="22"/>
          <w:szCs w:val="22"/>
        </w:rPr>
        <w:t>CMMC Third-Party Assessment Organizations (</w:t>
      </w:r>
      <w:r w:rsidRPr="009D0FB8">
        <w:rPr>
          <w:rFonts w:ascii="Poppins" w:hAnsi="Poppins" w:cs="Poppins"/>
          <w:sz w:val="22"/>
          <w:szCs w:val="22"/>
        </w:rPr>
        <w:t>C3PAOs</w:t>
      </w:r>
      <w:r w:rsidR="008E7805" w:rsidRPr="009D0FB8">
        <w:rPr>
          <w:rFonts w:ascii="Poppins" w:hAnsi="Poppins" w:cs="Poppins"/>
          <w:sz w:val="22"/>
          <w:szCs w:val="22"/>
        </w:rPr>
        <w:t>)</w:t>
      </w:r>
      <w:r w:rsidRPr="009D0FB8">
        <w:rPr>
          <w:rFonts w:ascii="Poppins" w:hAnsi="Poppins" w:cs="Poppins"/>
          <w:sz w:val="22"/>
          <w:szCs w:val="22"/>
        </w:rPr>
        <w:t xml:space="preserve"> and </w:t>
      </w:r>
      <w:r w:rsidR="008E7805" w:rsidRPr="009D0FB8">
        <w:rPr>
          <w:rFonts w:ascii="Poppins" w:hAnsi="Poppins" w:cs="Poppins"/>
          <w:sz w:val="22"/>
          <w:szCs w:val="22"/>
        </w:rPr>
        <w:t>Regis</w:t>
      </w:r>
      <w:r w:rsidR="002E5108" w:rsidRPr="009D0FB8">
        <w:rPr>
          <w:rFonts w:ascii="Poppins" w:hAnsi="Poppins" w:cs="Poppins"/>
          <w:sz w:val="22"/>
          <w:szCs w:val="22"/>
        </w:rPr>
        <w:t>tered Practitioner Organizations (</w:t>
      </w:r>
      <w:r w:rsidRPr="009D0FB8">
        <w:rPr>
          <w:rFonts w:ascii="Poppins" w:hAnsi="Poppins" w:cs="Poppins"/>
          <w:sz w:val="22"/>
          <w:szCs w:val="22"/>
        </w:rPr>
        <w:t>RPOs</w:t>
      </w:r>
      <w:r w:rsidR="002E5108" w:rsidRPr="009D0FB8">
        <w:rPr>
          <w:rFonts w:ascii="Poppins" w:hAnsi="Poppins" w:cs="Poppins"/>
          <w:sz w:val="22"/>
          <w:szCs w:val="22"/>
        </w:rPr>
        <w:t>)</w:t>
      </w:r>
      <w:r w:rsidRPr="009D0FB8">
        <w:rPr>
          <w:rFonts w:ascii="Poppins" w:hAnsi="Poppins" w:cs="Poppins"/>
          <w:sz w:val="22"/>
          <w:szCs w:val="22"/>
        </w:rPr>
        <w:t xml:space="preserve"> throughout the </w:t>
      </w:r>
      <w:r w:rsidR="002E5108" w:rsidRPr="009D0FB8">
        <w:rPr>
          <w:rFonts w:ascii="Poppins" w:hAnsi="Poppins" w:cs="Poppins"/>
          <w:sz w:val="22"/>
          <w:szCs w:val="22"/>
        </w:rPr>
        <w:t xml:space="preserve">CMMC at Sea </w:t>
      </w:r>
      <w:r w:rsidRPr="009D0FB8">
        <w:rPr>
          <w:rFonts w:ascii="Poppins" w:hAnsi="Poppins" w:cs="Poppins"/>
          <w:sz w:val="22"/>
          <w:szCs w:val="22"/>
        </w:rPr>
        <w:t>program</w:t>
      </w:r>
      <w:r w:rsidR="002E5108" w:rsidRPr="009D0FB8">
        <w:rPr>
          <w:rFonts w:ascii="Poppins" w:hAnsi="Poppins" w:cs="Poppins"/>
          <w:sz w:val="22"/>
          <w:szCs w:val="22"/>
        </w:rPr>
        <w:t>ing</w:t>
      </w:r>
      <w:r w:rsidRPr="009D0FB8">
        <w:rPr>
          <w:rFonts w:ascii="Poppins" w:hAnsi="Poppins" w:cs="Poppins"/>
          <w:sz w:val="22"/>
          <w:szCs w:val="22"/>
        </w:rPr>
        <w:t>, enabling real-time clarification of requirements and feedback on documentation.</w:t>
      </w:r>
    </w:p>
    <w:p w14:paraId="3658F580" w14:textId="221809B7" w:rsidR="00CB27C9" w:rsidRPr="009D0FB8" w:rsidRDefault="00CB27C9" w:rsidP="000B01CE">
      <w:pPr>
        <w:spacing w:line="271" w:lineRule="auto"/>
        <w:jc w:val="both"/>
        <w:rPr>
          <w:rFonts w:ascii="Poppins" w:hAnsi="Poppins" w:cs="Poppins"/>
          <w:b/>
          <w:bCs/>
          <w:sz w:val="22"/>
          <w:szCs w:val="22"/>
        </w:rPr>
      </w:pPr>
      <w:r w:rsidRPr="009D0FB8">
        <w:rPr>
          <w:rFonts w:ascii="Poppins" w:hAnsi="Poppins" w:cs="Poppins"/>
          <w:b/>
          <w:bCs/>
          <w:sz w:val="22"/>
          <w:szCs w:val="22"/>
        </w:rPr>
        <w:t xml:space="preserve">2. </w:t>
      </w:r>
      <w:r w:rsidR="008E7805" w:rsidRPr="009D0FB8">
        <w:rPr>
          <w:rFonts w:ascii="Poppins" w:hAnsi="Poppins" w:cs="Poppins"/>
          <w:b/>
          <w:bCs/>
          <w:sz w:val="22"/>
          <w:szCs w:val="22"/>
        </w:rPr>
        <w:t>Focus on Assessment Risk Areas</w:t>
      </w:r>
    </w:p>
    <w:p w14:paraId="49069B6C" w14:textId="3477D466" w:rsidR="009D0FB8" w:rsidRPr="009D0FB8" w:rsidRDefault="009D0FB8" w:rsidP="009D0FB8">
      <w:pPr>
        <w:spacing w:line="271" w:lineRule="auto"/>
        <w:jc w:val="both"/>
        <w:rPr>
          <w:rFonts w:ascii="Poppins" w:hAnsi="Poppins" w:cs="Poppins"/>
          <w:sz w:val="22"/>
          <w:szCs w:val="22"/>
        </w:rPr>
      </w:pPr>
      <w:r w:rsidRPr="009D0FB8">
        <w:rPr>
          <w:rFonts w:ascii="Poppins" w:hAnsi="Poppins" w:cs="Poppins"/>
          <w:sz w:val="22"/>
          <w:szCs w:val="22"/>
        </w:rPr>
        <w:t>Programming is intentionally centered on areas where organizations most commonly encounter challenges during assessments:</w:t>
      </w:r>
    </w:p>
    <w:p w14:paraId="1D854A37" w14:textId="77777777" w:rsidR="009D0FB8" w:rsidRPr="009D0FB8" w:rsidRDefault="009D0FB8" w:rsidP="009D0FB8">
      <w:pPr>
        <w:pStyle w:val="Bullet"/>
        <w:rPr>
          <w:szCs w:val="22"/>
        </w:rPr>
      </w:pPr>
      <w:r w:rsidRPr="009D0FB8">
        <w:rPr>
          <w:szCs w:val="22"/>
        </w:rPr>
        <w:t xml:space="preserve">Environment scoping and boundary definition </w:t>
      </w:r>
    </w:p>
    <w:p w14:paraId="1D7CDA80" w14:textId="77777777" w:rsidR="009D0FB8" w:rsidRPr="009D0FB8" w:rsidRDefault="009D0FB8" w:rsidP="009D0FB8">
      <w:pPr>
        <w:pStyle w:val="Bullet"/>
        <w:rPr>
          <w:szCs w:val="22"/>
        </w:rPr>
      </w:pPr>
      <w:r w:rsidRPr="009D0FB8">
        <w:rPr>
          <w:szCs w:val="22"/>
        </w:rPr>
        <w:t xml:space="preserve">Asset identification and categorization </w:t>
      </w:r>
    </w:p>
    <w:p w14:paraId="59D73505" w14:textId="77777777" w:rsidR="009D0FB8" w:rsidRPr="009D0FB8" w:rsidRDefault="009D0FB8" w:rsidP="009D0FB8">
      <w:pPr>
        <w:pStyle w:val="Bullet"/>
        <w:rPr>
          <w:szCs w:val="22"/>
        </w:rPr>
      </w:pPr>
      <w:r w:rsidRPr="009D0FB8">
        <w:rPr>
          <w:szCs w:val="22"/>
        </w:rPr>
        <w:t xml:space="preserve">Development of defensible documentation </w:t>
      </w:r>
    </w:p>
    <w:p w14:paraId="3019D676" w14:textId="77777777" w:rsidR="009D0FB8" w:rsidRPr="009D0FB8" w:rsidRDefault="009D0FB8" w:rsidP="009D0FB8">
      <w:pPr>
        <w:pStyle w:val="Bullet"/>
        <w:rPr>
          <w:szCs w:val="22"/>
        </w:rPr>
      </w:pPr>
      <w:r w:rsidRPr="009D0FB8">
        <w:rPr>
          <w:szCs w:val="22"/>
        </w:rPr>
        <w:t xml:space="preserve">Interpretation of evidence by assessors </w:t>
      </w:r>
    </w:p>
    <w:p w14:paraId="678B05EB" w14:textId="0032644C" w:rsidR="00233729" w:rsidRPr="00233729" w:rsidRDefault="00233729" w:rsidP="00233729">
      <w:pPr>
        <w:spacing w:line="271" w:lineRule="auto"/>
        <w:jc w:val="both"/>
        <w:rPr>
          <w:rFonts w:ascii="Poppins" w:hAnsi="Poppins" w:cs="Poppins"/>
          <w:b/>
          <w:bCs/>
          <w:sz w:val="22"/>
          <w:szCs w:val="22"/>
        </w:rPr>
      </w:pPr>
      <w:r w:rsidRPr="00233729">
        <w:rPr>
          <w:rFonts w:ascii="Poppins" w:hAnsi="Poppins" w:cs="Poppins"/>
          <w:b/>
          <w:bCs/>
          <w:sz w:val="22"/>
          <w:szCs w:val="22"/>
        </w:rPr>
        <w:lastRenderedPageBreak/>
        <w:t>3. Cross-Functional Alignment</w:t>
      </w:r>
    </w:p>
    <w:p w14:paraId="0BE4D1B3" w14:textId="5CA9647C" w:rsidR="009E5FA9" w:rsidRDefault="009E5FA9" w:rsidP="00233729">
      <w:pPr>
        <w:spacing w:line="271" w:lineRule="auto"/>
        <w:jc w:val="both"/>
        <w:rPr>
          <w:rFonts w:ascii="Poppins" w:hAnsi="Poppins" w:cs="Poppins"/>
          <w:sz w:val="22"/>
          <w:szCs w:val="22"/>
        </w:rPr>
      </w:pPr>
      <w:r w:rsidRPr="009E5FA9">
        <w:rPr>
          <w:rFonts w:ascii="Poppins" w:hAnsi="Poppins" w:cs="Poppins"/>
          <w:sz w:val="22"/>
          <w:szCs w:val="22"/>
        </w:rPr>
        <w:t>CMMC impacts multiple function</w:t>
      </w:r>
      <w:r w:rsidR="00F75B79">
        <w:rPr>
          <w:rFonts w:ascii="Poppins" w:hAnsi="Poppins" w:cs="Poppins"/>
          <w:sz w:val="22"/>
          <w:szCs w:val="22"/>
        </w:rPr>
        <w:t xml:space="preserve">s </w:t>
      </w:r>
      <w:r w:rsidRPr="009E5FA9">
        <w:rPr>
          <w:rFonts w:ascii="Poppins" w:hAnsi="Poppins" w:cs="Poppins"/>
          <w:sz w:val="22"/>
          <w:szCs w:val="22"/>
        </w:rPr>
        <w:t>including IT, security, compliance, contracts, legal, and executive leadership. Attendance will help bridge gaps between technical and business perspectives, enabling clearer internal communication and more effective coordination across teams involved in compliance and proposal efforts.</w:t>
      </w:r>
    </w:p>
    <w:p w14:paraId="099CE8D5" w14:textId="1270C93D" w:rsidR="00626772" w:rsidRPr="00626772" w:rsidRDefault="00626772" w:rsidP="00233729">
      <w:pPr>
        <w:spacing w:line="271" w:lineRule="auto"/>
        <w:jc w:val="both"/>
        <w:rPr>
          <w:rFonts w:ascii="Poppins" w:hAnsi="Poppins" w:cs="Poppins"/>
          <w:b/>
          <w:bCs/>
          <w:sz w:val="22"/>
          <w:szCs w:val="22"/>
        </w:rPr>
      </w:pPr>
      <w:r w:rsidRPr="00626772">
        <w:rPr>
          <w:rFonts w:ascii="Poppins" w:hAnsi="Poppins" w:cs="Poppins"/>
          <w:b/>
          <w:bCs/>
          <w:sz w:val="22"/>
          <w:szCs w:val="22"/>
        </w:rPr>
        <w:t xml:space="preserve">4. Cost Considerations </w:t>
      </w:r>
    </w:p>
    <w:p w14:paraId="14F2851D" w14:textId="53BA9B86" w:rsidR="0042291A" w:rsidRDefault="0042291A" w:rsidP="009747E6">
      <w:pPr>
        <w:spacing w:line="271" w:lineRule="auto"/>
        <w:jc w:val="both"/>
        <w:rPr>
          <w:rFonts w:ascii="Poppins" w:hAnsi="Poppins" w:cs="Poppins"/>
          <w:sz w:val="22"/>
          <w:szCs w:val="22"/>
        </w:rPr>
      </w:pPr>
      <w:r w:rsidRPr="0042291A">
        <w:rPr>
          <w:rFonts w:ascii="Poppins" w:hAnsi="Poppins" w:cs="Poppins"/>
          <w:sz w:val="22"/>
          <w:szCs w:val="22"/>
        </w:rPr>
        <w:t>Traditional conference attendance often appears inexpensive when only registration is considered. However, when evaluat</w:t>
      </w:r>
      <w:r>
        <w:rPr>
          <w:rFonts w:ascii="Poppins" w:hAnsi="Poppins" w:cs="Poppins"/>
          <w:sz w:val="22"/>
          <w:szCs w:val="22"/>
        </w:rPr>
        <w:t>ing</w:t>
      </w:r>
      <w:r w:rsidRPr="0042291A">
        <w:rPr>
          <w:rFonts w:ascii="Poppins" w:hAnsi="Poppins" w:cs="Poppins"/>
          <w:sz w:val="22"/>
          <w:szCs w:val="22"/>
        </w:rPr>
        <w:t xml:space="preserve"> total participation cost</w:t>
      </w:r>
      <w:r>
        <w:rPr>
          <w:rFonts w:ascii="Poppins" w:hAnsi="Poppins" w:cs="Poppins"/>
          <w:sz w:val="22"/>
          <w:szCs w:val="22"/>
        </w:rPr>
        <w:t>s,</w:t>
      </w:r>
      <w:r w:rsidRPr="0042291A">
        <w:rPr>
          <w:rFonts w:ascii="Poppins" w:hAnsi="Poppins" w:cs="Poppins"/>
          <w:sz w:val="22"/>
          <w:szCs w:val="22"/>
        </w:rPr>
        <w:t xml:space="preserve"> expenses increase significantly.</w:t>
      </w:r>
      <w:r w:rsidR="00AD5A7B">
        <w:rPr>
          <w:rFonts w:ascii="Poppins" w:hAnsi="Poppins" w:cs="Poppins"/>
          <w:sz w:val="22"/>
          <w:szCs w:val="22"/>
        </w:rPr>
        <w:t xml:space="preserve"> </w:t>
      </w:r>
      <w:r w:rsidR="009747E6" w:rsidRPr="009747E6">
        <w:rPr>
          <w:rFonts w:ascii="Poppins" w:hAnsi="Poppins" w:cs="Poppins"/>
          <w:sz w:val="22"/>
          <w:szCs w:val="22"/>
        </w:rPr>
        <w:t>A typical three-day cybersecurity conference requires</w:t>
      </w:r>
      <w:r w:rsidR="009747E6">
        <w:rPr>
          <w:rFonts w:ascii="Poppins" w:hAnsi="Poppins" w:cs="Poppins"/>
          <w:sz w:val="22"/>
          <w:szCs w:val="22"/>
        </w:rPr>
        <w:t xml:space="preserve"> </w:t>
      </w:r>
      <w:r w:rsidR="009747E6" w:rsidRPr="009747E6">
        <w:rPr>
          <w:rFonts w:ascii="Poppins" w:hAnsi="Poppins" w:cs="Poppins"/>
          <w:sz w:val="22"/>
          <w:szCs w:val="22"/>
        </w:rPr>
        <w:t>lodging</w:t>
      </w:r>
      <w:r w:rsidR="009747E6">
        <w:rPr>
          <w:rFonts w:ascii="Poppins" w:hAnsi="Poppins" w:cs="Poppins"/>
          <w:sz w:val="22"/>
          <w:szCs w:val="22"/>
        </w:rPr>
        <w:t>, p</w:t>
      </w:r>
      <w:r w:rsidR="009747E6" w:rsidRPr="009747E6">
        <w:rPr>
          <w:rFonts w:ascii="Poppins" w:hAnsi="Poppins" w:cs="Poppins"/>
          <w:sz w:val="22"/>
          <w:szCs w:val="22"/>
        </w:rPr>
        <w:t>er diem meals</w:t>
      </w:r>
      <w:r w:rsidR="009747E6">
        <w:rPr>
          <w:rFonts w:ascii="Poppins" w:hAnsi="Poppins" w:cs="Poppins"/>
          <w:sz w:val="22"/>
          <w:szCs w:val="22"/>
        </w:rPr>
        <w:t>, t</w:t>
      </w:r>
      <w:r w:rsidR="009747E6" w:rsidRPr="009747E6">
        <w:rPr>
          <w:rFonts w:ascii="Poppins" w:hAnsi="Poppins" w:cs="Poppins"/>
          <w:sz w:val="22"/>
          <w:szCs w:val="22"/>
        </w:rPr>
        <w:t>ransportation and parking</w:t>
      </w:r>
      <w:r w:rsidR="009747E6">
        <w:rPr>
          <w:rFonts w:ascii="Poppins" w:hAnsi="Poppins" w:cs="Poppins"/>
          <w:sz w:val="22"/>
          <w:szCs w:val="22"/>
        </w:rPr>
        <w:t>, conference r</w:t>
      </w:r>
      <w:r w:rsidR="009747E6" w:rsidRPr="009747E6">
        <w:rPr>
          <w:rFonts w:ascii="Poppins" w:hAnsi="Poppins" w:cs="Poppins"/>
          <w:sz w:val="22"/>
          <w:szCs w:val="22"/>
        </w:rPr>
        <w:t>egistration fees</w:t>
      </w:r>
      <w:r w:rsidR="003F67B0">
        <w:rPr>
          <w:rFonts w:ascii="Poppins" w:hAnsi="Poppins" w:cs="Poppins"/>
          <w:sz w:val="22"/>
          <w:szCs w:val="22"/>
        </w:rPr>
        <w:t>, as well as t</w:t>
      </w:r>
      <w:r w:rsidR="009747E6" w:rsidRPr="009747E6">
        <w:rPr>
          <w:rFonts w:ascii="Poppins" w:hAnsi="Poppins" w:cs="Poppins"/>
          <w:sz w:val="22"/>
          <w:szCs w:val="22"/>
        </w:rPr>
        <w:t xml:space="preserve">axes, resort fees, and </w:t>
      </w:r>
      <w:r w:rsidR="003F67B0">
        <w:rPr>
          <w:rFonts w:ascii="Poppins" w:hAnsi="Poppins" w:cs="Poppins"/>
          <w:sz w:val="22"/>
          <w:szCs w:val="22"/>
        </w:rPr>
        <w:t xml:space="preserve">other </w:t>
      </w:r>
      <w:r w:rsidR="009747E6" w:rsidRPr="009747E6">
        <w:rPr>
          <w:rFonts w:ascii="Poppins" w:hAnsi="Poppins" w:cs="Poppins"/>
          <w:sz w:val="22"/>
          <w:szCs w:val="22"/>
        </w:rPr>
        <w:t>incidental costs</w:t>
      </w:r>
      <w:r w:rsidR="002E74B1">
        <w:rPr>
          <w:rFonts w:ascii="Poppins" w:hAnsi="Poppins" w:cs="Poppins"/>
          <w:sz w:val="22"/>
          <w:szCs w:val="22"/>
        </w:rPr>
        <w:t xml:space="preserve"> – commonly </w:t>
      </w:r>
      <w:r w:rsidR="009747E6" w:rsidRPr="009747E6">
        <w:rPr>
          <w:rFonts w:ascii="Poppins" w:hAnsi="Poppins" w:cs="Poppins"/>
          <w:sz w:val="22"/>
          <w:szCs w:val="22"/>
        </w:rPr>
        <w:t>excee</w:t>
      </w:r>
      <w:r w:rsidR="002E74B1">
        <w:rPr>
          <w:rFonts w:ascii="Poppins" w:hAnsi="Poppins" w:cs="Poppins"/>
          <w:sz w:val="22"/>
          <w:szCs w:val="22"/>
        </w:rPr>
        <w:t>ding</w:t>
      </w:r>
      <w:r w:rsidR="009747E6" w:rsidRPr="009747E6">
        <w:rPr>
          <w:rFonts w:ascii="Poppins" w:hAnsi="Poppins" w:cs="Poppins"/>
          <w:sz w:val="22"/>
          <w:szCs w:val="22"/>
        </w:rPr>
        <w:t xml:space="preserve"> $3,300 for a single attendee.</w:t>
      </w:r>
    </w:p>
    <w:p w14:paraId="7666053C" w14:textId="7F9DF1B3" w:rsidR="00DA724C" w:rsidRDefault="00DA724C" w:rsidP="00DA724C">
      <w:pPr>
        <w:spacing w:line="271" w:lineRule="auto"/>
        <w:jc w:val="both"/>
        <w:rPr>
          <w:rFonts w:ascii="Poppins" w:hAnsi="Poppins" w:cs="Poppins"/>
          <w:sz w:val="22"/>
          <w:szCs w:val="22"/>
        </w:rPr>
      </w:pPr>
      <w:r w:rsidRPr="00DA724C">
        <w:rPr>
          <w:rFonts w:ascii="Poppins" w:hAnsi="Poppins" w:cs="Poppins"/>
          <w:sz w:val="22"/>
          <w:szCs w:val="22"/>
        </w:rPr>
        <w:t>By comparison, CMMC at Sea includes</w:t>
      </w:r>
      <w:r>
        <w:rPr>
          <w:rFonts w:ascii="Poppins" w:hAnsi="Poppins" w:cs="Poppins"/>
          <w:sz w:val="22"/>
          <w:szCs w:val="22"/>
        </w:rPr>
        <w:t xml:space="preserve"> s</w:t>
      </w:r>
      <w:r w:rsidRPr="00DA724C">
        <w:rPr>
          <w:rFonts w:ascii="Poppins" w:hAnsi="Poppins" w:cs="Poppins"/>
          <w:sz w:val="22"/>
          <w:szCs w:val="22"/>
        </w:rPr>
        <w:t xml:space="preserve">even days of </w:t>
      </w:r>
      <w:r>
        <w:rPr>
          <w:rFonts w:ascii="Poppins" w:hAnsi="Poppins" w:cs="Poppins"/>
          <w:sz w:val="22"/>
          <w:szCs w:val="22"/>
        </w:rPr>
        <w:t xml:space="preserve">networking, with </w:t>
      </w:r>
      <w:r w:rsidR="00F60863">
        <w:rPr>
          <w:rFonts w:ascii="Poppins" w:hAnsi="Poppins" w:cs="Poppins"/>
          <w:sz w:val="22"/>
          <w:szCs w:val="22"/>
        </w:rPr>
        <w:t>five</w:t>
      </w:r>
      <w:r>
        <w:rPr>
          <w:rFonts w:ascii="Poppins" w:hAnsi="Poppins" w:cs="Poppins"/>
          <w:sz w:val="22"/>
          <w:szCs w:val="22"/>
        </w:rPr>
        <w:t xml:space="preserve"> days </w:t>
      </w:r>
      <w:r w:rsidR="00F60863">
        <w:rPr>
          <w:rFonts w:ascii="Poppins" w:hAnsi="Poppins" w:cs="Poppins"/>
          <w:sz w:val="22"/>
          <w:szCs w:val="22"/>
        </w:rPr>
        <w:t xml:space="preserve">of scheduled </w:t>
      </w:r>
      <w:r w:rsidRPr="00DA724C">
        <w:rPr>
          <w:rFonts w:ascii="Poppins" w:hAnsi="Poppins" w:cs="Poppins"/>
          <w:sz w:val="22"/>
          <w:szCs w:val="22"/>
        </w:rPr>
        <w:t>programming</w:t>
      </w:r>
      <w:r w:rsidR="00F60863">
        <w:rPr>
          <w:rFonts w:ascii="Poppins" w:hAnsi="Poppins" w:cs="Poppins"/>
          <w:sz w:val="22"/>
          <w:szCs w:val="22"/>
        </w:rPr>
        <w:t>, lodging and all meals, as well as t</w:t>
      </w:r>
      <w:r w:rsidRPr="00DA724C">
        <w:rPr>
          <w:rFonts w:ascii="Poppins" w:hAnsi="Poppins" w:cs="Poppins"/>
          <w:sz w:val="22"/>
          <w:szCs w:val="22"/>
        </w:rPr>
        <w:t>axes and fees</w:t>
      </w:r>
      <w:r w:rsidR="00F60863">
        <w:rPr>
          <w:rFonts w:ascii="Poppins" w:hAnsi="Poppins" w:cs="Poppins"/>
          <w:sz w:val="22"/>
          <w:szCs w:val="22"/>
        </w:rPr>
        <w:t xml:space="preserve">. </w:t>
      </w:r>
      <w:r w:rsidRPr="00DA724C">
        <w:rPr>
          <w:rFonts w:ascii="Poppins" w:hAnsi="Poppins" w:cs="Poppins"/>
          <w:sz w:val="22"/>
          <w:szCs w:val="22"/>
        </w:rPr>
        <w:t>Total cost</w:t>
      </w:r>
      <w:r w:rsidR="004B3B68">
        <w:rPr>
          <w:rFonts w:ascii="Poppins" w:hAnsi="Poppins" w:cs="Poppins"/>
          <w:sz w:val="22"/>
          <w:szCs w:val="22"/>
        </w:rPr>
        <w:t>s</w:t>
      </w:r>
      <w:r w:rsidRPr="00DA724C">
        <w:rPr>
          <w:rFonts w:ascii="Poppins" w:hAnsi="Poppins" w:cs="Poppins"/>
          <w:sz w:val="22"/>
          <w:szCs w:val="22"/>
        </w:rPr>
        <w:t xml:space="preserve"> </w:t>
      </w:r>
      <w:r w:rsidR="00450455">
        <w:rPr>
          <w:rFonts w:ascii="Poppins" w:hAnsi="Poppins" w:cs="Poppins"/>
          <w:sz w:val="22"/>
          <w:szCs w:val="22"/>
        </w:rPr>
        <w:t>are</w:t>
      </w:r>
      <w:r w:rsidRPr="00DA724C">
        <w:rPr>
          <w:rFonts w:ascii="Poppins" w:hAnsi="Poppins" w:cs="Poppins"/>
          <w:sz w:val="22"/>
          <w:szCs w:val="22"/>
        </w:rPr>
        <w:t xml:space="preserve"> </w:t>
      </w:r>
      <w:r w:rsidR="002F63E1">
        <w:rPr>
          <w:rFonts w:ascii="Poppins" w:hAnsi="Poppins" w:cs="Poppins"/>
          <w:sz w:val="22"/>
          <w:szCs w:val="22"/>
        </w:rPr>
        <w:t>~</w:t>
      </w:r>
      <w:r w:rsidRPr="00DA724C">
        <w:rPr>
          <w:rFonts w:ascii="Poppins" w:hAnsi="Poppins" w:cs="Poppins"/>
          <w:sz w:val="22"/>
          <w:szCs w:val="22"/>
        </w:rPr>
        <w:t xml:space="preserve">$4,000 </w:t>
      </w:r>
      <w:r w:rsidR="007338EA">
        <w:rPr>
          <w:rFonts w:ascii="Poppins" w:hAnsi="Poppins" w:cs="Poppins"/>
          <w:sz w:val="22"/>
          <w:szCs w:val="22"/>
        </w:rPr>
        <w:t>for a double occupancy cabin</w:t>
      </w:r>
      <w:r w:rsidR="00BC5157">
        <w:rPr>
          <w:rFonts w:ascii="Poppins" w:hAnsi="Poppins" w:cs="Poppins"/>
          <w:sz w:val="22"/>
          <w:szCs w:val="22"/>
        </w:rPr>
        <w:t xml:space="preserve"> (cabins for four people available dependent on availability</w:t>
      </w:r>
      <w:r w:rsidR="00D74C77">
        <w:rPr>
          <w:rFonts w:ascii="Poppins" w:hAnsi="Poppins" w:cs="Poppins"/>
          <w:sz w:val="22"/>
          <w:szCs w:val="22"/>
        </w:rPr>
        <w:t>/request</w:t>
      </w:r>
      <w:r w:rsidR="00BC5157">
        <w:rPr>
          <w:rFonts w:ascii="Poppins" w:hAnsi="Poppins" w:cs="Poppins"/>
          <w:sz w:val="22"/>
          <w:szCs w:val="22"/>
        </w:rPr>
        <w:t>). A</w:t>
      </w:r>
      <w:r w:rsidR="00450455">
        <w:rPr>
          <w:rFonts w:ascii="Poppins" w:hAnsi="Poppins" w:cs="Poppins"/>
          <w:sz w:val="22"/>
          <w:szCs w:val="22"/>
        </w:rPr>
        <w:t xml:space="preserve">ll cabin occupants </w:t>
      </w:r>
      <w:r w:rsidR="00257EC4">
        <w:rPr>
          <w:rFonts w:ascii="Poppins" w:hAnsi="Poppins" w:cs="Poppins"/>
          <w:sz w:val="22"/>
          <w:szCs w:val="22"/>
        </w:rPr>
        <w:t>receiv</w:t>
      </w:r>
      <w:r w:rsidR="00D74C77">
        <w:rPr>
          <w:rFonts w:ascii="Poppins" w:hAnsi="Poppins" w:cs="Poppins"/>
          <w:sz w:val="22"/>
          <w:szCs w:val="22"/>
        </w:rPr>
        <w:t>e</w:t>
      </w:r>
      <w:r w:rsidR="00257EC4">
        <w:rPr>
          <w:rFonts w:ascii="Poppins" w:hAnsi="Poppins" w:cs="Poppins"/>
          <w:sz w:val="22"/>
          <w:szCs w:val="22"/>
        </w:rPr>
        <w:t xml:space="preserve"> full conference access</w:t>
      </w:r>
      <w:r w:rsidR="00D74C77">
        <w:rPr>
          <w:rFonts w:ascii="Poppins" w:hAnsi="Poppins" w:cs="Poppins"/>
          <w:sz w:val="22"/>
          <w:szCs w:val="22"/>
        </w:rPr>
        <w:t xml:space="preserve">, </w:t>
      </w:r>
      <w:r w:rsidR="007E096F">
        <w:rPr>
          <w:rFonts w:ascii="Poppins" w:hAnsi="Poppins" w:cs="Poppins"/>
          <w:sz w:val="22"/>
          <w:szCs w:val="22"/>
        </w:rPr>
        <w:t>with</w:t>
      </w:r>
      <w:r w:rsidR="00051D68">
        <w:rPr>
          <w:rFonts w:ascii="Poppins" w:hAnsi="Poppins" w:cs="Poppins"/>
          <w:sz w:val="22"/>
          <w:szCs w:val="22"/>
        </w:rPr>
        <w:t xml:space="preserve"> the option to add</w:t>
      </w:r>
      <w:r w:rsidR="007E096F">
        <w:rPr>
          <w:rFonts w:ascii="Poppins" w:hAnsi="Poppins" w:cs="Poppins"/>
          <w:sz w:val="22"/>
          <w:szCs w:val="22"/>
        </w:rPr>
        <w:t xml:space="preserve"> </w:t>
      </w:r>
      <w:hyperlink r:id="rId8" w:history="1">
        <w:r w:rsidR="007E096F" w:rsidRPr="00D114FD">
          <w:rPr>
            <w:rStyle w:val="Hyperlink"/>
            <w:rFonts w:ascii="Poppins" w:hAnsi="Poppins" w:cs="Poppins"/>
            <w:sz w:val="22"/>
            <w:szCs w:val="22"/>
          </w:rPr>
          <w:t>C</w:t>
        </w:r>
        <w:r w:rsidR="00F61F35" w:rsidRPr="00D114FD">
          <w:rPr>
            <w:rStyle w:val="Hyperlink"/>
            <w:rFonts w:ascii="Poppins" w:hAnsi="Poppins" w:cs="Poppins"/>
            <w:sz w:val="22"/>
            <w:szCs w:val="22"/>
          </w:rPr>
          <w:t>MMC Certified Professional (CCP) training</w:t>
        </w:r>
      </w:hyperlink>
      <w:r w:rsidR="00F61F35">
        <w:rPr>
          <w:rFonts w:ascii="Poppins" w:hAnsi="Poppins" w:cs="Poppins"/>
          <w:sz w:val="22"/>
          <w:szCs w:val="22"/>
        </w:rPr>
        <w:t xml:space="preserve"> </w:t>
      </w:r>
      <w:r w:rsidR="00630CE6">
        <w:rPr>
          <w:rFonts w:ascii="Poppins" w:hAnsi="Poppins" w:cs="Poppins"/>
          <w:sz w:val="22"/>
          <w:szCs w:val="22"/>
        </w:rPr>
        <w:t>(</w:t>
      </w:r>
      <w:r w:rsidR="00F61F35">
        <w:rPr>
          <w:rFonts w:ascii="Poppins" w:hAnsi="Poppins" w:cs="Poppins"/>
          <w:sz w:val="22"/>
          <w:szCs w:val="22"/>
        </w:rPr>
        <w:t>$1,3</w:t>
      </w:r>
      <w:r w:rsidR="00AF2472">
        <w:rPr>
          <w:rFonts w:ascii="Poppins" w:hAnsi="Poppins" w:cs="Poppins"/>
          <w:sz w:val="22"/>
          <w:szCs w:val="22"/>
        </w:rPr>
        <w:t>50 per participant), significantly</w:t>
      </w:r>
      <w:r w:rsidRPr="00DA724C">
        <w:rPr>
          <w:rFonts w:ascii="Poppins" w:hAnsi="Poppins" w:cs="Poppins"/>
          <w:sz w:val="22"/>
          <w:szCs w:val="22"/>
        </w:rPr>
        <w:t xml:space="preserve"> increasing organizational value.</w:t>
      </w:r>
    </w:p>
    <w:p w14:paraId="229321DF" w14:textId="506CF71D" w:rsidR="00B62567" w:rsidRPr="009D0FB8" w:rsidRDefault="00D114FD" w:rsidP="000B01CE">
      <w:pPr>
        <w:spacing w:line="271" w:lineRule="auto"/>
        <w:jc w:val="both"/>
        <w:rPr>
          <w:rFonts w:ascii="Poppins" w:hAnsi="Poppins" w:cs="Poppins"/>
          <w:sz w:val="22"/>
          <w:szCs w:val="22"/>
        </w:rPr>
      </w:pPr>
      <w:r w:rsidRPr="00D114FD">
        <w:rPr>
          <w:rFonts w:ascii="Poppins" w:hAnsi="Poppins" w:cs="Poppins"/>
          <w:b/>
          <w:bCs/>
          <w:sz w:val="22"/>
          <w:szCs w:val="22"/>
        </w:rPr>
        <w:t>Bottom line:</w:t>
      </w:r>
      <w:r>
        <w:rPr>
          <w:rFonts w:ascii="Poppins" w:hAnsi="Poppins" w:cs="Poppins"/>
          <w:sz w:val="22"/>
          <w:szCs w:val="22"/>
        </w:rPr>
        <w:t xml:space="preserve"> </w:t>
      </w:r>
      <w:r w:rsidR="00B62567" w:rsidRPr="009D0FB8">
        <w:rPr>
          <w:rFonts w:ascii="Poppins" w:hAnsi="Poppins" w:cs="Poppins"/>
          <w:sz w:val="22"/>
          <w:szCs w:val="22"/>
        </w:rPr>
        <w:t>Attending CMMC at Sea represents a focused, cost</w:t>
      </w:r>
      <w:r w:rsidR="00B62567" w:rsidRPr="009D0FB8">
        <w:rPr>
          <w:rFonts w:ascii="Cambria Math" w:hAnsi="Cambria Math" w:cs="Cambria Math"/>
          <w:sz w:val="22"/>
          <w:szCs w:val="22"/>
        </w:rPr>
        <w:t>‑</w:t>
      </w:r>
      <w:r w:rsidR="00B62567" w:rsidRPr="009D0FB8">
        <w:rPr>
          <w:rFonts w:ascii="Poppins" w:hAnsi="Poppins" w:cs="Poppins"/>
          <w:sz w:val="22"/>
          <w:szCs w:val="22"/>
        </w:rPr>
        <w:t>effective investment in compliance readiness, risk reduction, and organizational knowledge. The insights gained will directly support our ability to pursue DoD</w:t>
      </w:r>
      <w:r w:rsidR="00B62567" w:rsidRPr="009D0FB8">
        <w:rPr>
          <w:rFonts w:ascii="Cambria Math" w:hAnsi="Cambria Math" w:cs="Cambria Math"/>
          <w:sz w:val="22"/>
          <w:szCs w:val="22"/>
        </w:rPr>
        <w:t>‑</w:t>
      </w:r>
      <w:r w:rsidR="00B62567" w:rsidRPr="009D0FB8">
        <w:rPr>
          <w:rFonts w:ascii="Poppins" w:hAnsi="Poppins" w:cs="Poppins"/>
          <w:sz w:val="22"/>
          <w:szCs w:val="22"/>
        </w:rPr>
        <w:t>related work</w:t>
      </w:r>
      <w:r w:rsidR="00614661">
        <w:rPr>
          <w:rFonts w:ascii="Poppins" w:hAnsi="Poppins" w:cs="Poppins"/>
          <w:sz w:val="22"/>
          <w:szCs w:val="22"/>
        </w:rPr>
        <w:t>.</w:t>
      </w:r>
      <w:r w:rsidR="00B62567" w:rsidRPr="009D0FB8">
        <w:rPr>
          <w:rFonts w:ascii="Poppins" w:hAnsi="Poppins" w:cs="Poppins"/>
          <w:sz w:val="22"/>
          <w:szCs w:val="22"/>
        </w:rPr>
        <w:t xml:space="preserve"> </w:t>
      </w:r>
    </w:p>
    <w:p w14:paraId="01873FAF" w14:textId="217743E8" w:rsidR="00B62567" w:rsidRPr="009D0FB8" w:rsidRDefault="00B62567" w:rsidP="000B01CE">
      <w:pPr>
        <w:spacing w:line="271" w:lineRule="auto"/>
        <w:jc w:val="both"/>
        <w:rPr>
          <w:rFonts w:ascii="Poppins" w:hAnsi="Poppins" w:cs="Poppins"/>
          <w:sz w:val="22"/>
          <w:szCs w:val="22"/>
        </w:rPr>
      </w:pPr>
      <w:r w:rsidRPr="009D0FB8">
        <w:rPr>
          <w:rFonts w:ascii="Poppins" w:hAnsi="Poppins" w:cs="Poppins"/>
          <w:sz w:val="22"/>
          <w:szCs w:val="22"/>
        </w:rPr>
        <w:t xml:space="preserve">Thank you for considering this request. I’m happy to discuss expected outcomes or how the </w:t>
      </w:r>
      <w:r w:rsidR="00220859">
        <w:rPr>
          <w:rFonts w:ascii="Poppins" w:hAnsi="Poppins" w:cs="Poppins"/>
          <w:sz w:val="22"/>
          <w:szCs w:val="22"/>
        </w:rPr>
        <w:t>working sessions</w:t>
      </w:r>
      <w:r w:rsidRPr="009D0FB8">
        <w:rPr>
          <w:rFonts w:ascii="Poppins" w:hAnsi="Poppins" w:cs="Poppins"/>
          <w:sz w:val="22"/>
          <w:szCs w:val="22"/>
        </w:rPr>
        <w:t xml:space="preserve"> will be applied internally.</w:t>
      </w:r>
    </w:p>
    <w:p w14:paraId="3CA2BD9E" w14:textId="77777777" w:rsidR="00B62567" w:rsidRPr="009D0FB8" w:rsidRDefault="00B62567" w:rsidP="000B01CE">
      <w:pPr>
        <w:spacing w:line="271" w:lineRule="auto"/>
        <w:jc w:val="both"/>
        <w:rPr>
          <w:rFonts w:ascii="Poppins" w:hAnsi="Poppins" w:cs="Poppins"/>
          <w:sz w:val="22"/>
          <w:szCs w:val="22"/>
        </w:rPr>
      </w:pPr>
      <w:r w:rsidRPr="009D0FB8">
        <w:rPr>
          <w:rFonts w:ascii="Poppins" w:hAnsi="Poppins" w:cs="Poppins"/>
          <w:sz w:val="22"/>
          <w:szCs w:val="22"/>
        </w:rPr>
        <w:t>Sincerely,</w:t>
      </w:r>
    </w:p>
    <w:p w14:paraId="4A513436" w14:textId="77777777" w:rsidR="00B62567" w:rsidRPr="0061757A" w:rsidRDefault="00B62567" w:rsidP="000B01CE">
      <w:pPr>
        <w:spacing w:line="271" w:lineRule="auto"/>
        <w:jc w:val="both"/>
        <w:rPr>
          <w:rFonts w:ascii="Poppins" w:hAnsi="Poppins" w:cs="Poppins"/>
          <w:sz w:val="22"/>
          <w:szCs w:val="22"/>
          <w:highlight w:val="yellow"/>
        </w:rPr>
      </w:pPr>
      <w:r w:rsidRPr="0061757A">
        <w:rPr>
          <w:rFonts w:ascii="Poppins" w:hAnsi="Poppins" w:cs="Poppins"/>
          <w:sz w:val="22"/>
          <w:szCs w:val="22"/>
          <w:highlight w:val="yellow"/>
        </w:rPr>
        <w:t>[Your Name]</w:t>
      </w:r>
    </w:p>
    <w:p w14:paraId="7E28C664" w14:textId="4FAD6BD4" w:rsidR="00BF02DA" w:rsidRPr="00614661" w:rsidRDefault="00B62567" w:rsidP="000B01CE">
      <w:pPr>
        <w:spacing w:line="271" w:lineRule="auto"/>
        <w:jc w:val="both"/>
        <w:rPr>
          <w:rFonts w:ascii="Poppins" w:hAnsi="Poppins" w:cs="Poppins"/>
          <w:sz w:val="22"/>
          <w:szCs w:val="22"/>
          <w:highlight w:val="yellow"/>
        </w:rPr>
      </w:pPr>
      <w:r w:rsidRPr="0061757A">
        <w:rPr>
          <w:rFonts w:ascii="Poppins" w:hAnsi="Poppins" w:cs="Poppins"/>
          <w:sz w:val="22"/>
          <w:szCs w:val="22"/>
          <w:highlight w:val="yellow"/>
        </w:rPr>
        <w:t>[Your Title]</w:t>
      </w:r>
    </w:p>
    <w:sectPr w:rsidR="00BF02DA" w:rsidRPr="00614661" w:rsidSect="00614661">
      <w:headerReference w:type="even" r:id="rId9"/>
      <w:headerReference w:type="default" r:id="rId10"/>
      <w:footerReference w:type="even" r:id="rId11"/>
      <w:footerReference w:type="default" r:id="rId12"/>
      <w:headerReference w:type="first" r:id="rId13"/>
      <w:footerReference w:type="first" r:id="rId14"/>
      <w:pgSz w:w="12240" w:h="15840"/>
      <w:pgMar w:top="1215"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A10E" w14:textId="77777777" w:rsidR="00FA5ED7" w:rsidRDefault="00FA5ED7" w:rsidP="00BF02DA">
      <w:pPr>
        <w:spacing w:after="0" w:line="240" w:lineRule="auto"/>
      </w:pPr>
      <w:r>
        <w:separator/>
      </w:r>
    </w:p>
  </w:endnote>
  <w:endnote w:type="continuationSeparator" w:id="0">
    <w:p w14:paraId="7CDBF9E6" w14:textId="77777777" w:rsidR="00FA5ED7" w:rsidRDefault="00FA5ED7" w:rsidP="00BF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6F70" w14:textId="77777777" w:rsidR="00335E83" w:rsidRDefault="00335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9B55" w14:textId="18FDD127" w:rsidR="00BF02DA" w:rsidRDefault="00441714">
    <w:pPr>
      <w:pStyle w:val="Footer"/>
    </w:pPr>
    <w:r>
      <w:rPr>
        <w:noProof/>
      </w:rPr>
      <w:drawing>
        <wp:anchor distT="0" distB="0" distL="114300" distR="114300" simplePos="0" relativeHeight="251659264" behindDoc="1" locked="0" layoutInCell="1" allowOverlap="1" wp14:anchorId="5C4D8561" wp14:editId="4AF22503">
          <wp:simplePos x="0" y="0"/>
          <wp:positionH relativeFrom="page">
            <wp:align>left</wp:align>
          </wp:positionH>
          <wp:positionV relativeFrom="paragraph">
            <wp:posOffset>186055</wp:posOffset>
          </wp:positionV>
          <wp:extent cx="7877175" cy="450215"/>
          <wp:effectExtent l="0" t="0" r="9525" b="6985"/>
          <wp:wrapTight wrapText="bothSides">
            <wp:wrapPolygon edited="0">
              <wp:start x="0" y="0"/>
              <wp:lineTo x="0" y="21021"/>
              <wp:lineTo x="21574" y="21021"/>
              <wp:lineTo x="21574" y="0"/>
              <wp:lineTo x="0" y="0"/>
            </wp:wrapPolygon>
          </wp:wrapTight>
          <wp:docPr id="1477678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787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77175" cy="4502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A543" w14:textId="77777777" w:rsidR="00335E83" w:rsidRDefault="00335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B6A5" w14:textId="77777777" w:rsidR="00FA5ED7" w:rsidRDefault="00FA5ED7" w:rsidP="00BF02DA">
      <w:pPr>
        <w:spacing w:after="0" w:line="240" w:lineRule="auto"/>
      </w:pPr>
      <w:r>
        <w:separator/>
      </w:r>
    </w:p>
  </w:footnote>
  <w:footnote w:type="continuationSeparator" w:id="0">
    <w:p w14:paraId="50F73987" w14:textId="77777777" w:rsidR="00FA5ED7" w:rsidRDefault="00FA5ED7" w:rsidP="00BF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1A0B" w14:textId="77777777" w:rsidR="00335E83" w:rsidRDefault="00335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8D90" w14:textId="3B354D05" w:rsidR="00BF02DA" w:rsidRDefault="00441714">
    <w:pPr>
      <w:pStyle w:val="Header"/>
    </w:pPr>
    <w:r>
      <w:rPr>
        <w:noProof/>
      </w:rPr>
      <w:drawing>
        <wp:anchor distT="0" distB="0" distL="114300" distR="114300" simplePos="0" relativeHeight="251660288" behindDoc="1" locked="0" layoutInCell="1" allowOverlap="1" wp14:anchorId="06D88732" wp14:editId="31BD4BBB">
          <wp:simplePos x="0" y="0"/>
          <wp:positionH relativeFrom="page">
            <wp:align>left</wp:align>
          </wp:positionH>
          <wp:positionV relativeFrom="paragraph">
            <wp:posOffset>-448945</wp:posOffset>
          </wp:positionV>
          <wp:extent cx="8016875" cy="1351915"/>
          <wp:effectExtent l="0" t="0" r="3175" b="635"/>
          <wp:wrapTight wrapText="bothSides">
            <wp:wrapPolygon edited="0">
              <wp:start x="0" y="0"/>
              <wp:lineTo x="0" y="21306"/>
              <wp:lineTo x="21557" y="21306"/>
              <wp:lineTo x="21557" y="0"/>
              <wp:lineTo x="0" y="0"/>
            </wp:wrapPolygon>
          </wp:wrapTight>
          <wp:docPr id="473535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3552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016875" cy="1351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087D" w14:textId="77777777" w:rsidR="00335E83" w:rsidRDefault="00335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60DF"/>
    <w:multiLevelType w:val="hybridMultilevel"/>
    <w:tmpl w:val="62C0B936"/>
    <w:lvl w:ilvl="0" w:tplc="F7808980">
      <w:numFmt w:val="bullet"/>
      <w:lvlText w:val="•"/>
      <w:lvlJc w:val="left"/>
      <w:pPr>
        <w:ind w:left="1080" w:hanging="720"/>
      </w:pPr>
      <w:rPr>
        <w:rFonts w:ascii="Poppins" w:eastAsiaTheme="minorHAnsi"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7677B"/>
    <w:multiLevelType w:val="hybridMultilevel"/>
    <w:tmpl w:val="5C2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3E2BA5"/>
    <w:multiLevelType w:val="hybridMultilevel"/>
    <w:tmpl w:val="9E9894DC"/>
    <w:lvl w:ilvl="0" w:tplc="2FBA5D7C">
      <w:numFmt w:val="bullet"/>
      <w:pStyle w:val="Bullet"/>
      <w:lvlText w:val="•"/>
      <w:lvlJc w:val="left"/>
      <w:pPr>
        <w:ind w:left="1440" w:hanging="720"/>
      </w:pPr>
      <w:rPr>
        <w:rFonts w:ascii="Poppins" w:eastAsiaTheme="minorHAnsi" w:hAnsi="Poppins" w:cs="Poppi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1350659">
    <w:abstractNumId w:val="1"/>
  </w:num>
  <w:num w:numId="2" w16cid:durableId="1891724531">
    <w:abstractNumId w:val="0"/>
  </w:num>
  <w:num w:numId="3" w16cid:durableId="751195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DA"/>
    <w:rsid w:val="00051D68"/>
    <w:rsid w:val="00086DA8"/>
    <w:rsid w:val="000B01CE"/>
    <w:rsid w:val="001A493C"/>
    <w:rsid w:val="00220859"/>
    <w:rsid w:val="00233729"/>
    <w:rsid w:val="00257EC4"/>
    <w:rsid w:val="002D673F"/>
    <w:rsid w:val="002E5108"/>
    <w:rsid w:val="002E74B1"/>
    <w:rsid w:val="002F63E1"/>
    <w:rsid w:val="00335E83"/>
    <w:rsid w:val="003B2460"/>
    <w:rsid w:val="003F67B0"/>
    <w:rsid w:val="0042291A"/>
    <w:rsid w:val="00441714"/>
    <w:rsid w:val="00450455"/>
    <w:rsid w:val="00486F8A"/>
    <w:rsid w:val="004B3B68"/>
    <w:rsid w:val="00592C20"/>
    <w:rsid w:val="00614661"/>
    <w:rsid w:val="0061757A"/>
    <w:rsid w:val="00626772"/>
    <w:rsid w:val="00630CE6"/>
    <w:rsid w:val="00694601"/>
    <w:rsid w:val="007338EA"/>
    <w:rsid w:val="00764B3E"/>
    <w:rsid w:val="007B4F37"/>
    <w:rsid w:val="007D45A7"/>
    <w:rsid w:val="007E096F"/>
    <w:rsid w:val="00821F1E"/>
    <w:rsid w:val="00885CB0"/>
    <w:rsid w:val="008E7805"/>
    <w:rsid w:val="009230BE"/>
    <w:rsid w:val="009747E6"/>
    <w:rsid w:val="009D0FB8"/>
    <w:rsid w:val="009E5FA9"/>
    <w:rsid w:val="00A910F6"/>
    <w:rsid w:val="00AA06A1"/>
    <w:rsid w:val="00AD5A7B"/>
    <w:rsid w:val="00AF2472"/>
    <w:rsid w:val="00B62567"/>
    <w:rsid w:val="00BC5157"/>
    <w:rsid w:val="00BF02DA"/>
    <w:rsid w:val="00C82AC1"/>
    <w:rsid w:val="00CB27C9"/>
    <w:rsid w:val="00D114FD"/>
    <w:rsid w:val="00D553C4"/>
    <w:rsid w:val="00D74C77"/>
    <w:rsid w:val="00DA4DD1"/>
    <w:rsid w:val="00DA724C"/>
    <w:rsid w:val="00EA2BEB"/>
    <w:rsid w:val="00F25925"/>
    <w:rsid w:val="00F60863"/>
    <w:rsid w:val="00F61F35"/>
    <w:rsid w:val="00F70FDB"/>
    <w:rsid w:val="00F75B79"/>
    <w:rsid w:val="00F76D6C"/>
    <w:rsid w:val="00FA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F314A"/>
  <w15:chartTrackingRefBased/>
  <w15:docId w15:val="{18D3C0BB-31BF-4205-B9C7-5CBB5CD2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2DA"/>
    <w:rPr>
      <w:rFonts w:eastAsiaTheme="majorEastAsia" w:cstheme="majorBidi"/>
      <w:color w:val="272727" w:themeColor="text1" w:themeTint="D8"/>
    </w:rPr>
  </w:style>
  <w:style w:type="paragraph" w:styleId="Title">
    <w:name w:val="Title"/>
    <w:basedOn w:val="Normal"/>
    <w:next w:val="Normal"/>
    <w:link w:val="TitleChar"/>
    <w:uiPriority w:val="10"/>
    <w:qFormat/>
    <w:rsid w:val="00BF0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2DA"/>
    <w:pPr>
      <w:spacing w:before="160"/>
      <w:jc w:val="center"/>
    </w:pPr>
    <w:rPr>
      <w:i/>
      <w:iCs/>
      <w:color w:val="404040" w:themeColor="text1" w:themeTint="BF"/>
    </w:rPr>
  </w:style>
  <w:style w:type="character" w:customStyle="1" w:styleId="QuoteChar">
    <w:name w:val="Quote Char"/>
    <w:basedOn w:val="DefaultParagraphFont"/>
    <w:link w:val="Quote"/>
    <w:uiPriority w:val="29"/>
    <w:rsid w:val="00BF02DA"/>
    <w:rPr>
      <w:i/>
      <w:iCs/>
      <w:color w:val="404040" w:themeColor="text1" w:themeTint="BF"/>
    </w:rPr>
  </w:style>
  <w:style w:type="paragraph" w:styleId="ListParagraph">
    <w:name w:val="List Paragraph"/>
    <w:basedOn w:val="Normal"/>
    <w:uiPriority w:val="34"/>
    <w:qFormat/>
    <w:rsid w:val="00BF02DA"/>
    <w:pPr>
      <w:ind w:left="720"/>
      <w:contextualSpacing/>
    </w:pPr>
  </w:style>
  <w:style w:type="character" w:styleId="IntenseEmphasis">
    <w:name w:val="Intense Emphasis"/>
    <w:basedOn w:val="DefaultParagraphFont"/>
    <w:uiPriority w:val="21"/>
    <w:qFormat/>
    <w:rsid w:val="00BF02DA"/>
    <w:rPr>
      <w:i/>
      <w:iCs/>
      <w:color w:val="0F4761" w:themeColor="accent1" w:themeShade="BF"/>
    </w:rPr>
  </w:style>
  <w:style w:type="paragraph" w:styleId="IntenseQuote">
    <w:name w:val="Intense Quote"/>
    <w:basedOn w:val="Normal"/>
    <w:next w:val="Normal"/>
    <w:link w:val="IntenseQuoteChar"/>
    <w:uiPriority w:val="30"/>
    <w:qFormat/>
    <w:rsid w:val="00BF0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2DA"/>
    <w:rPr>
      <w:i/>
      <w:iCs/>
      <w:color w:val="0F4761" w:themeColor="accent1" w:themeShade="BF"/>
    </w:rPr>
  </w:style>
  <w:style w:type="character" w:styleId="IntenseReference">
    <w:name w:val="Intense Reference"/>
    <w:basedOn w:val="DefaultParagraphFont"/>
    <w:uiPriority w:val="32"/>
    <w:qFormat/>
    <w:rsid w:val="00BF02DA"/>
    <w:rPr>
      <w:b/>
      <w:bCs/>
      <w:smallCaps/>
      <w:color w:val="0F4761" w:themeColor="accent1" w:themeShade="BF"/>
      <w:spacing w:val="5"/>
    </w:rPr>
  </w:style>
  <w:style w:type="paragraph" w:styleId="Header">
    <w:name w:val="header"/>
    <w:basedOn w:val="Normal"/>
    <w:link w:val="HeaderChar"/>
    <w:uiPriority w:val="99"/>
    <w:unhideWhenUsed/>
    <w:rsid w:val="00BF0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2DA"/>
  </w:style>
  <w:style w:type="paragraph" w:styleId="Footer">
    <w:name w:val="footer"/>
    <w:basedOn w:val="Normal"/>
    <w:link w:val="FooterChar"/>
    <w:uiPriority w:val="99"/>
    <w:unhideWhenUsed/>
    <w:rsid w:val="00BF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2DA"/>
  </w:style>
  <w:style w:type="character" w:styleId="Hyperlink">
    <w:name w:val="Hyperlink"/>
    <w:basedOn w:val="DefaultParagraphFont"/>
    <w:uiPriority w:val="99"/>
    <w:unhideWhenUsed/>
    <w:rsid w:val="00B62567"/>
    <w:rPr>
      <w:color w:val="467886" w:themeColor="hyperlink"/>
      <w:u w:val="single"/>
    </w:rPr>
  </w:style>
  <w:style w:type="character" w:styleId="UnresolvedMention">
    <w:name w:val="Unresolved Mention"/>
    <w:basedOn w:val="DefaultParagraphFont"/>
    <w:uiPriority w:val="99"/>
    <w:semiHidden/>
    <w:unhideWhenUsed/>
    <w:rsid w:val="00B62567"/>
    <w:rPr>
      <w:color w:val="605E5C"/>
      <w:shd w:val="clear" w:color="auto" w:fill="E1DFDD"/>
    </w:rPr>
  </w:style>
  <w:style w:type="paragraph" w:customStyle="1" w:styleId="Bullet">
    <w:name w:val="Bullet"/>
    <w:basedOn w:val="ListParagraph"/>
    <w:qFormat/>
    <w:rsid w:val="00F76D6C"/>
    <w:pPr>
      <w:numPr>
        <w:numId w:val="3"/>
      </w:numPr>
      <w:spacing w:after="120" w:line="271" w:lineRule="auto"/>
      <w:ind w:left="634" w:hanging="274"/>
      <w:jc w:val="both"/>
    </w:pPr>
    <w:rPr>
      <w:rFonts w:ascii="Poppins" w:hAnsi="Poppins" w:cs="Poppi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mmcatsea.com/ccp-at-se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mmcatsea.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90f886-6609-44af-9e84-086354791b11}" enabled="0" method="" siteId="{9290f886-6609-44af-9e84-086354791b11}" removed="1"/>
</clbl:labelList>
</file>

<file path=docProps/app.xml><?xml version="1.0" encoding="utf-8"?>
<Properties xmlns="http://schemas.openxmlformats.org/officeDocument/2006/extended-properties" xmlns:vt="http://schemas.openxmlformats.org/officeDocument/2006/docPropsVTypes">
  <Template>Normal.dotm</Template>
  <TotalTime>73</TotalTime>
  <Pages>2</Pages>
  <Words>423</Words>
  <Characters>2822</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Brooke</dc:creator>
  <cp:keywords/>
  <dc:description/>
  <cp:lastModifiedBy>Ewing, Dustin</cp:lastModifiedBy>
  <cp:revision>8</cp:revision>
  <dcterms:created xsi:type="dcterms:W3CDTF">2026-05-27T19:00:00Z</dcterms:created>
  <dcterms:modified xsi:type="dcterms:W3CDTF">2026-05-27T19:22:00Z</dcterms:modified>
</cp:coreProperties>
</file>